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C2B" w:rsidRDefault="000F0C2B" w:rsidP="000F0C2B">
      <w:pPr>
        <w:rPr>
          <w:b/>
          <w:sz w:val="30"/>
          <w:szCs w:val="30"/>
        </w:rPr>
      </w:pPr>
      <w:r>
        <w:rPr>
          <w:rFonts w:hint="eastAsia"/>
          <w:b/>
          <w:sz w:val="30"/>
          <w:szCs w:val="30"/>
        </w:rPr>
        <w:t>选题参考</w:t>
      </w:r>
    </w:p>
    <w:p w:rsidR="000F0C2B" w:rsidRPr="000F0C2B" w:rsidRDefault="000F0C2B" w:rsidP="000F0C2B">
      <w:pPr>
        <w:rPr>
          <w:b/>
          <w:sz w:val="30"/>
          <w:szCs w:val="30"/>
        </w:rPr>
      </w:pPr>
      <w:r w:rsidRPr="000F0C2B">
        <w:rPr>
          <w:rFonts w:hint="eastAsia"/>
          <w:b/>
          <w:sz w:val="30"/>
          <w:szCs w:val="30"/>
        </w:rPr>
        <w:t>一、调查报告类</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（一）经济类</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1．产业转移背景下中部地区农民工回流的调查与分析——以江西省赣州市为例</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2．家庭作坊式的股份制企业与地方政府行为：铬超标胶囊的生产组织形式调查</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3．快速城市化进程中的新“三农”问题及解决机制——基于南昌市红谷滩区生米镇的调研</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4．江西省地方政府投资效率分析及应对建议——基于江西省11市的调查</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 xml:space="preserve">5．园区聚集模式的新型工业化研究——基于鄱阳湖生态经济区工业园区的调研 </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6．南昌高新技术开发区产业结构竞争力调查分析</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7.《江西省城乡居民消费金融状况调查》</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8.《鄱阳湖生态经济区建设金融支持的调研》</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9．《江西省上市公司后备资源调研》</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10.《鄱阳湖生态经济区风险与保险支持的调研》</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11．《江西农村金融生态环境的调研》</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12．《江西省政策性农业保险现状及发展模式的调查》</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13.工业企业节能减排现状调查与对策研究—以江西省工业园区为例</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14.《精壮劳力日益流失后的边缘农村农地利用现况及农村发展出路——对赣南地区农村经济与当下农民经济活动情况的调研报告》</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15.《农村民间借贷衍生性问题调查》</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16.《鄱阳湖地区工业节能减排现状调查》</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17.《县域经济发展中的用工慌现状调查》</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18.农业产业网络化现状调查研究——以江西省宜春市为例</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19. 《鄱阳湖生态经济区低碳产业现状调查与发展对策研究》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（二）管理类</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1.《振兴苏区背景下旅游资源联动式开发研究——以江西为例》</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2.江西省“农超对接”现状调查与对策研究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3．江西农业龙头企业带动农户发展情况调查</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4．新能源汽车推广可行性调查---基于南昌市的调查</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lastRenderedPageBreak/>
        <w:t>5. 《家电补贴是否持续扩大有效内需——基于国美电器，苏宁电器，沃尔玛超市的调研分析报告》</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6. 《特色型农产品整体营销状况调查——以赣南脐橙、南丰桔子为例》</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7.企业节能减排意愿研究——以江西省工业企业为例</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8.阶梯电价对公平与效率的影响研究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9.区域农产品品牌建设机制与营销策略研究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10.基于消费者视角的区域农产品品牌资产结构维度研究——以江西茶叶产业为例</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11.电商物流配送最后一公里的创新</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12.城市物流配送资源整合</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13.基于第三方电子商务平台的供应链金融风险管理研究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14.第四方物流金融协同服务模式和收益分析</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（三）其他类</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1.《古村落发展中的维权抗争与社会管理创新研究——基于“中国最美乡村——婺源”发展模式的调查》</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2.《赣南稀土挖掘衍生性社会问题调查》</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3.《农村社会工作发展模式的现状与问题——以中国地方政府创新奖最高奖得主“万载模式”为例》</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4.《慈善事业形象传播效度调查与信任关系重构研究——以红十字会公共危机为例》</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5.《撤村建居城郊老年失地农民城市融入问题研究》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6.《欠发达地区空巢老人的生活状况与居家养老服务提升路径研究》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7.《从&lt;舌尖上的中国&gt;到食品值得信赖的中国——基于中国食品安全问题的调研》</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8．畲乡文化经济价值挖掘及其开发模式的调查研究——以江西省樟平畲乡为例</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9.《乡村文化公共设施建设状况调查》</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10《公益广告符号传播效度分析》</w:t>
      </w:r>
    </w:p>
    <w:p w:rsidR="000F0C2B" w:rsidRPr="000F0C2B" w:rsidRDefault="000F0C2B" w:rsidP="000F0C2B">
      <w:pPr>
        <w:adjustRightInd w:val="0"/>
        <w:snapToGrid w:val="0"/>
        <w:spacing w:line="360" w:lineRule="auto"/>
        <w:jc w:val="left"/>
        <w:rPr>
          <w:rFonts w:ascii="宋体" w:hAnsi="宋体" w:cs="宋体" w:hint="eastAsia"/>
          <w:b/>
          <w:sz w:val="32"/>
          <w:lang w:val="zh-CN"/>
        </w:rPr>
      </w:pPr>
      <w:r w:rsidRPr="000F0C2B">
        <w:rPr>
          <w:rFonts w:ascii="宋体" w:hAnsi="宋体" w:cs="宋体" w:hint="eastAsia"/>
          <w:b/>
          <w:sz w:val="32"/>
          <w:lang w:val="zh-CN"/>
        </w:rPr>
        <w:t>二、哲学社会科学论文类</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1.中国食品安全社会治理力量的选择与设计</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2．江西省能源消费结构调查及对策研究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lastRenderedPageBreak/>
        <w:t>3．从“中部崛起”到“中三角”区域构建：历史与现实考察</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4．江西省产业结构优化分析</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5．基于数据挖掘的财务报表异常分析</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6．基于不同模式的网络广告效果分析与研究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7．租用型呼叫中心客服绩效考核管理研究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8．鄱阳湖生态经济区资源、环境与社会经济协调发展的评价研究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9．技术媒介的沟团队创造性绩效的影响研究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10．基于计算实验的鄱阳湖生态产业集群服务创新体系研究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11．中部六省社会经济发展与环境协调性综合评价研究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12．文化创意产业竞争力——基于中国城市数据的实证研究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13．当代大学生志愿者心理状况调查及对策研究---以江西六所高校为例</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14．由传统英语专业向商务英语专业转型过程中若干问题的探索与研究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15．基于大学生旅游意象的中三角核心旅游景观圈打造研究</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16．旅游企业投融资机制与模式研究——以鄱阳湖生态经济区为例</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17．基于新媒体的江西旅游形象建设研究——以“搏动江西”微博旅游推广活动</w:t>
      </w:r>
    </w:p>
    <w:p w:rsidR="000F0C2B" w:rsidRDefault="000F0C2B" w:rsidP="000F0C2B">
      <w:pPr>
        <w:adjustRightInd w:val="0"/>
        <w:snapToGrid w:val="0"/>
        <w:spacing w:line="360" w:lineRule="auto"/>
        <w:jc w:val="left"/>
        <w:rPr>
          <w:rFonts w:ascii="宋体" w:hAnsi="宋体" w:cs="宋体" w:hint="eastAsia"/>
          <w:sz w:val="24"/>
          <w:lang w:val="zh-CN"/>
        </w:rPr>
      </w:pPr>
      <w:r>
        <w:rPr>
          <w:rFonts w:ascii="宋体" w:hAnsi="宋体" w:cs="宋体" w:hint="eastAsia"/>
          <w:sz w:val="24"/>
          <w:lang w:val="zh-CN"/>
        </w:rPr>
        <w:t>18．绿色建筑在商品房中应用的调查—以南昌市为例</w:t>
      </w:r>
    </w:p>
    <w:p w:rsidR="000F0C2B" w:rsidRDefault="000F0C2B" w:rsidP="000F0C2B">
      <w:pPr>
        <w:adjustRightInd w:val="0"/>
        <w:snapToGrid w:val="0"/>
        <w:spacing w:line="360" w:lineRule="auto"/>
        <w:jc w:val="left"/>
        <w:rPr>
          <w:rFonts w:hint="eastAsia"/>
          <w:sz w:val="18"/>
          <w:shd w:val="clear" w:color="auto" w:fill="FFFFFF"/>
        </w:rPr>
      </w:pPr>
      <w:r>
        <w:rPr>
          <w:rFonts w:ascii="宋体" w:hAnsi="宋体" w:hint="eastAsia"/>
          <w:sz w:val="24"/>
          <w:lang w:val="zh-CN"/>
        </w:rPr>
        <w:t>19．</w:t>
      </w:r>
      <w:r>
        <w:rPr>
          <w:rFonts w:ascii="宋体" w:hAnsi="宋体" w:hint="eastAsia"/>
          <w:sz w:val="22"/>
          <w:shd w:val="clear" w:color="auto" w:fill="FFFFFF"/>
        </w:rPr>
        <w:t>基于LCE的“生态节能型住宅”的经济技术分析及应用</w:t>
      </w:r>
    </w:p>
    <w:p w:rsidR="000F0C2B" w:rsidRDefault="000F0C2B" w:rsidP="000F0C2B">
      <w:pPr>
        <w:adjustRightInd w:val="0"/>
        <w:snapToGrid w:val="0"/>
        <w:spacing w:line="360" w:lineRule="auto"/>
        <w:jc w:val="left"/>
        <w:rPr>
          <w:sz w:val="18"/>
          <w:shd w:val="clear" w:color="auto" w:fill="FFFFFF"/>
        </w:rPr>
      </w:pPr>
      <w:r>
        <w:rPr>
          <w:rFonts w:ascii="宋体" w:hAnsi="宋体" w:hint="eastAsia"/>
          <w:sz w:val="24"/>
          <w:lang w:val="zh-CN"/>
        </w:rPr>
        <w:t>20．高校建筑节能评价与潜力分析——以昌北高校为例</w:t>
      </w:r>
    </w:p>
    <w:p w:rsidR="000F0C2B" w:rsidRDefault="000F0C2B" w:rsidP="000F0C2B">
      <w:pPr>
        <w:adjustRightInd w:val="0"/>
        <w:snapToGrid w:val="0"/>
        <w:spacing w:line="360" w:lineRule="auto"/>
        <w:jc w:val="left"/>
        <w:rPr>
          <w:rFonts w:ascii="宋体" w:hAnsi="宋体"/>
          <w:sz w:val="24"/>
          <w:lang w:val="zh-CN"/>
        </w:rPr>
      </w:pPr>
      <w:r>
        <w:rPr>
          <w:rFonts w:ascii="宋体" w:hAnsi="宋体" w:hint="eastAsia"/>
          <w:sz w:val="24"/>
          <w:lang w:val="zh-CN"/>
        </w:rPr>
        <w:t>21．</w:t>
      </w:r>
      <w:r>
        <w:rPr>
          <w:rFonts w:ascii="宋体" w:hAnsi="宋体" w:hint="eastAsia"/>
          <w:sz w:val="24"/>
        </w:rPr>
        <w:t>基于生态修复技术在湖泊治理中善于吸收水体富营养物质植被类型的研究</w:t>
      </w:r>
    </w:p>
    <w:p w:rsidR="000F0C2B" w:rsidRDefault="000F0C2B" w:rsidP="000F0C2B">
      <w:pPr>
        <w:adjustRightInd w:val="0"/>
        <w:snapToGrid w:val="0"/>
        <w:spacing w:line="360" w:lineRule="auto"/>
        <w:jc w:val="left"/>
        <w:rPr>
          <w:rFonts w:ascii="宋体" w:hAnsi="宋体" w:hint="eastAsia"/>
          <w:sz w:val="24"/>
        </w:rPr>
      </w:pPr>
      <w:r>
        <w:rPr>
          <w:rFonts w:ascii="宋体" w:hAnsi="宋体" w:hint="eastAsia"/>
          <w:sz w:val="24"/>
        </w:rPr>
        <w:t>22．</w:t>
      </w:r>
      <w:r>
        <w:rPr>
          <w:rFonts w:ascii="宋体" w:hAnsi="宋体" w:hint="eastAsia"/>
          <w:sz w:val="22"/>
          <w:shd w:val="clear" w:color="auto" w:fill="FFFFFF"/>
        </w:rPr>
        <w:t>鄱阳湖生态经济区土地生态安全预警研究</w:t>
      </w:r>
    </w:p>
    <w:p w:rsidR="000F0C2B" w:rsidRDefault="000F0C2B" w:rsidP="000F0C2B">
      <w:pPr>
        <w:shd w:val="solid" w:color="FFFFFF" w:fill="auto"/>
        <w:autoSpaceDN w:val="0"/>
        <w:jc w:val="left"/>
        <w:rPr>
          <w:rFonts w:hint="eastAsia"/>
          <w:sz w:val="18"/>
          <w:shd w:val="clear" w:color="auto" w:fill="FFFFFF"/>
        </w:rPr>
      </w:pPr>
      <w:r>
        <w:rPr>
          <w:rFonts w:ascii="宋体" w:hAnsi="宋体" w:hint="eastAsia"/>
          <w:sz w:val="24"/>
        </w:rPr>
        <w:t>23．</w:t>
      </w:r>
      <w:r>
        <w:rPr>
          <w:rFonts w:ascii="宋体" w:hAnsi="宋体" w:hint="eastAsia"/>
          <w:sz w:val="24"/>
          <w:lang w:val="zh-CN"/>
        </w:rPr>
        <w:t>关于南昌市风向在城市规划和工业布局中运用现状的调查及其研究</w:t>
      </w:r>
    </w:p>
    <w:p w:rsidR="000F0C2B" w:rsidRDefault="000F0C2B" w:rsidP="000F0C2B">
      <w:pPr>
        <w:adjustRightInd w:val="0"/>
        <w:snapToGrid w:val="0"/>
        <w:spacing w:line="360" w:lineRule="auto"/>
        <w:jc w:val="left"/>
        <w:rPr>
          <w:rFonts w:ascii="宋体" w:hAnsi="宋体"/>
          <w:sz w:val="24"/>
          <w:lang w:val="zh-CN"/>
        </w:rPr>
      </w:pPr>
      <w:r>
        <w:rPr>
          <w:rFonts w:ascii="宋体" w:hAnsi="宋体" w:hint="eastAsia"/>
          <w:sz w:val="24"/>
          <w:lang w:val="zh-CN"/>
        </w:rPr>
        <w:t>24．</w:t>
      </w:r>
      <w:r>
        <w:rPr>
          <w:rFonts w:ascii="宋体" w:hAnsi="宋体" w:hint="eastAsia"/>
          <w:sz w:val="24"/>
        </w:rPr>
        <w:t>轨道交通对南昌城市文化空间载体建设的影响研究</w:t>
      </w:r>
    </w:p>
    <w:p w:rsidR="000F0C2B" w:rsidRDefault="000F0C2B" w:rsidP="000F0C2B">
      <w:pPr>
        <w:adjustRightInd w:val="0"/>
        <w:snapToGrid w:val="0"/>
        <w:spacing w:line="360" w:lineRule="auto"/>
        <w:jc w:val="left"/>
        <w:rPr>
          <w:rFonts w:ascii="宋体" w:hAnsi="宋体" w:hint="eastAsia"/>
          <w:sz w:val="24"/>
        </w:rPr>
      </w:pPr>
      <w:r>
        <w:rPr>
          <w:rFonts w:ascii="宋体" w:hAnsi="宋体" w:hint="eastAsia"/>
          <w:sz w:val="24"/>
        </w:rPr>
        <w:t>25．</w:t>
      </w:r>
      <w:r>
        <w:rPr>
          <w:rFonts w:ascii="宋体" w:hAnsi="宋体" w:hint="eastAsia"/>
          <w:sz w:val="24"/>
          <w:lang w:val="zh-CN"/>
        </w:rPr>
        <w:t>基于BP神经网络的房地产市场持续健康发展评价研究——以南昌市为例</w:t>
      </w:r>
    </w:p>
    <w:p w:rsidR="000F0C2B" w:rsidRDefault="000F0C2B" w:rsidP="000F0C2B">
      <w:pPr>
        <w:adjustRightInd w:val="0"/>
        <w:snapToGrid w:val="0"/>
        <w:spacing w:line="360" w:lineRule="auto"/>
        <w:jc w:val="left"/>
        <w:rPr>
          <w:rFonts w:ascii="宋体" w:hAnsi="宋体" w:hint="eastAsia"/>
          <w:sz w:val="24"/>
          <w:lang w:val="zh-CN"/>
        </w:rPr>
      </w:pPr>
      <w:r>
        <w:rPr>
          <w:rFonts w:ascii="宋体" w:hAnsi="宋体" w:hint="eastAsia"/>
          <w:sz w:val="24"/>
          <w:lang w:val="zh-CN"/>
        </w:rPr>
        <w:t>26．基于空间统计方法的南昌市房地产价格差异研究</w:t>
      </w:r>
    </w:p>
    <w:p w:rsidR="000F0C2B" w:rsidRDefault="000F0C2B" w:rsidP="000F0C2B">
      <w:pPr>
        <w:adjustRightInd w:val="0"/>
        <w:snapToGrid w:val="0"/>
        <w:spacing w:line="360" w:lineRule="auto"/>
        <w:jc w:val="left"/>
        <w:rPr>
          <w:rFonts w:ascii="宋体" w:hAnsi="宋体" w:hint="eastAsia"/>
          <w:sz w:val="24"/>
          <w:lang w:val="zh-CN"/>
        </w:rPr>
      </w:pPr>
      <w:r>
        <w:rPr>
          <w:rFonts w:ascii="宋体" w:hAnsi="宋体" w:hint="eastAsia"/>
          <w:sz w:val="24"/>
          <w:lang w:val="zh-CN"/>
        </w:rPr>
        <w:t>27、我国XX产业自主创新能力评价与分析</w:t>
      </w:r>
    </w:p>
    <w:p w:rsidR="000F0C2B" w:rsidRDefault="000F0C2B" w:rsidP="000F0C2B">
      <w:pPr>
        <w:adjustRightInd w:val="0"/>
        <w:snapToGrid w:val="0"/>
        <w:spacing w:line="360" w:lineRule="auto"/>
        <w:jc w:val="left"/>
        <w:rPr>
          <w:rFonts w:ascii="宋体" w:hAnsi="宋体" w:hint="eastAsia"/>
          <w:sz w:val="24"/>
          <w:lang w:val="zh-CN"/>
        </w:rPr>
      </w:pPr>
      <w:r>
        <w:rPr>
          <w:rFonts w:ascii="宋体" w:hAnsi="宋体" w:hint="eastAsia"/>
          <w:sz w:val="24"/>
          <w:lang w:val="zh-CN"/>
        </w:rPr>
        <w:t>28、对环鄱阳湖经济圈的思考：九江城西港区的发展现状及其影响分析</w:t>
      </w:r>
    </w:p>
    <w:p w:rsidR="000F0C2B" w:rsidRDefault="000F0C2B" w:rsidP="000F0C2B">
      <w:pPr>
        <w:adjustRightInd w:val="0"/>
        <w:snapToGrid w:val="0"/>
        <w:spacing w:line="360" w:lineRule="auto"/>
        <w:jc w:val="left"/>
        <w:rPr>
          <w:rFonts w:ascii="宋体" w:hAnsi="宋体" w:hint="eastAsia"/>
          <w:sz w:val="24"/>
          <w:lang w:val="zh-CN"/>
        </w:rPr>
      </w:pPr>
      <w:r>
        <w:rPr>
          <w:rFonts w:ascii="宋体" w:hAnsi="宋体" w:hint="eastAsia"/>
          <w:sz w:val="24"/>
          <w:lang w:val="zh-CN"/>
        </w:rPr>
        <w:t>29．江西省大学生农村创业模式研究</w:t>
      </w:r>
    </w:p>
    <w:p w:rsidR="000F0C2B" w:rsidRDefault="000F0C2B" w:rsidP="000F0C2B">
      <w:pPr>
        <w:adjustRightInd w:val="0"/>
        <w:snapToGrid w:val="0"/>
        <w:spacing w:line="360" w:lineRule="auto"/>
        <w:jc w:val="left"/>
        <w:rPr>
          <w:rFonts w:ascii="宋体" w:hAnsi="宋体" w:hint="eastAsia"/>
          <w:sz w:val="24"/>
          <w:lang w:val="zh-CN"/>
        </w:rPr>
      </w:pPr>
      <w:r>
        <w:rPr>
          <w:rFonts w:ascii="宋体" w:hAnsi="宋体" w:hint="eastAsia"/>
          <w:sz w:val="24"/>
          <w:lang w:val="zh-CN"/>
        </w:rPr>
        <w:t>30．南昌公交站台的经济分析以及公共管理与规划研究</w:t>
      </w:r>
    </w:p>
    <w:p w:rsidR="000F0C2B" w:rsidRDefault="000F0C2B" w:rsidP="000F0C2B">
      <w:pPr>
        <w:adjustRightInd w:val="0"/>
        <w:snapToGrid w:val="0"/>
        <w:spacing w:line="360" w:lineRule="auto"/>
        <w:jc w:val="left"/>
        <w:rPr>
          <w:rFonts w:ascii="宋体" w:hAnsi="宋体" w:hint="eastAsia"/>
          <w:sz w:val="24"/>
          <w:lang w:val="zh-CN"/>
        </w:rPr>
      </w:pPr>
      <w:r>
        <w:rPr>
          <w:rFonts w:ascii="宋体" w:hAnsi="宋体" w:hint="eastAsia"/>
          <w:sz w:val="24"/>
          <w:lang w:val="zh-CN"/>
        </w:rPr>
        <w:t>31．中美文化贸易结构对比分析</w:t>
      </w:r>
    </w:p>
    <w:p w:rsidR="000F0C2B" w:rsidRDefault="000F0C2B" w:rsidP="000F0C2B">
      <w:pPr>
        <w:adjustRightInd w:val="0"/>
        <w:snapToGrid w:val="0"/>
        <w:spacing w:line="360" w:lineRule="auto"/>
        <w:jc w:val="left"/>
        <w:rPr>
          <w:rFonts w:ascii="宋体" w:hAnsi="宋体" w:hint="eastAsia"/>
          <w:sz w:val="24"/>
          <w:lang w:val="zh-CN"/>
        </w:rPr>
      </w:pPr>
      <w:r>
        <w:rPr>
          <w:rFonts w:ascii="宋体" w:hAnsi="宋体" w:hint="eastAsia"/>
          <w:sz w:val="24"/>
          <w:lang w:val="zh-CN"/>
        </w:rPr>
        <w:t>32．</w:t>
      </w:r>
      <w:r>
        <w:rPr>
          <w:rFonts w:ascii="宋体" w:hAnsi="宋体" w:cs="宋体" w:hint="eastAsia"/>
          <w:sz w:val="24"/>
          <w:lang w:val="zh-CN"/>
        </w:rPr>
        <w:t>江西老龄化现状调查及对策研究</w:t>
      </w:r>
    </w:p>
    <w:p w:rsidR="000F0C2B" w:rsidRDefault="000F0C2B" w:rsidP="000F0C2B">
      <w:pPr>
        <w:spacing w:line="520" w:lineRule="exact"/>
        <w:rPr>
          <w:rFonts w:ascii="宋体" w:hAnsi="宋体" w:cs="宋体" w:hint="eastAsia"/>
          <w:sz w:val="24"/>
          <w:lang w:val="zh-CN"/>
        </w:rPr>
      </w:pPr>
      <w:r>
        <w:rPr>
          <w:rFonts w:ascii="宋体" w:hAnsi="宋体" w:cs="宋体" w:hint="eastAsia"/>
          <w:sz w:val="24"/>
          <w:lang w:val="zh-CN"/>
        </w:rPr>
        <w:lastRenderedPageBreak/>
        <w:t>33．江西省高新产业现状及对策研究</w:t>
      </w:r>
    </w:p>
    <w:p w:rsidR="000F0C2B" w:rsidRDefault="000F0C2B" w:rsidP="000F0C2B">
      <w:pPr>
        <w:spacing w:line="520" w:lineRule="exact"/>
        <w:rPr>
          <w:rFonts w:ascii="宋体" w:hAnsi="宋体" w:cs="宋体" w:hint="eastAsia"/>
          <w:sz w:val="24"/>
          <w:lang w:val="zh-CN"/>
        </w:rPr>
      </w:pPr>
      <w:r>
        <w:rPr>
          <w:rFonts w:ascii="宋体" w:hAnsi="宋体" w:cs="宋体" w:hint="eastAsia"/>
          <w:sz w:val="24"/>
          <w:lang w:val="zh-CN"/>
        </w:rPr>
        <w:t>34．</w:t>
      </w:r>
      <w:r>
        <w:rPr>
          <w:rFonts w:ascii="宋体" w:hAnsi="宋体" w:hint="eastAsia"/>
          <w:sz w:val="24"/>
          <w:lang w:val="zh-CN"/>
        </w:rPr>
        <w:t>房产税改革对住房投资性需求的影响研究——以上海市试点推进房产税改革调控房地产市场为例》</w:t>
      </w:r>
    </w:p>
    <w:p w:rsidR="000F0C2B" w:rsidRDefault="000F0C2B" w:rsidP="000F0C2B">
      <w:pPr>
        <w:adjustRightInd w:val="0"/>
        <w:snapToGrid w:val="0"/>
        <w:spacing w:line="360" w:lineRule="auto"/>
        <w:jc w:val="left"/>
        <w:rPr>
          <w:rFonts w:ascii="宋体" w:hAnsi="宋体" w:hint="eastAsia"/>
          <w:sz w:val="24"/>
          <w:lang w:val="zh-CN"/>
        </w:rPr>
      </w:pPr>
      <w:r>
        <w:rPr>
          <w:rFonts w:ascii="宋体" w:hAnsi="宋体" w:hint="eastAsia"/>
          <w:sz w:val="24"/>
          <w:lang w:val="zh-CN"/>
        </w:rPr>
        <w:t>35．我国上市公司利润操纵问题及风险防范</w:t>
      </w:r>
    </w:p>
    <w:p w:rsidR="000F0C2B" w:rsidRDefault="000F0C2B" w:rsidP="000F0C2B">
      <w:pPr>
        <w:adjustRightInd w:val="0"/>
        <w:snapToGrid w:val="0"/>
        <w:spacing w:line="360" w:lineRule="auto"/>
        <w:jc w:val="left"/>
        <w:rPr>
          <w:rFonts w:ascii="宋体" w:hAnsi="宋体" w:hint="eastAsia"/>
          <w:sz w:val="24"/>
          <w:lang w:val="zh-CN"/>
        </w:rPr>
      </w:pPr>
      <w:r>
        <w:rPr>
          <w:rFonts w:ascii="宋体" w:hAnsi="宋体" w:hint="eastAsia"/>
          <w:sz w:val="24"/>
          <w:lang w:val="zh-CN"/>
        </w:rPr>
        <w:t>36．关于少数民族学生在高等院校中生活融入问题的研究</w:t>
      </w:r>
    </w:p>
    <w:p w:rsidR="000F0C2B" w:rsidRDefault="000F0C2B" w:rsidP="000F0C2B">
      <w:pPr>
        <w:adjustRightInd w:val="0"/>
        <w:snapToGrid w:val="0"/>
        <w:spacing w:line="360" w:lineRule="auto"/>
        <w:jc w:val="left"/>
        <w:rPr>
          <w:rFonts w:ascii="宋体" w:hAnsi="宋体" w:hint="eastAsia"/>
          <w:sz w:val="24"/>
          <w:lang w:val="zh-CN"/>
        </w:rPr>
      </w:pPr>
      <w:r>
        <w:rPr>
          <w:rFonts w:ascii="宋体" w:hAnsi="宋体" w:hint="eastAsia"/>
          <w:sz w:val="24"/>
          <w:lang w:val="zh-CN"/>
        </w:rPr>
        <w:t>37．农业大省的农村经济新出路——以江西泰和千烟洲发展模式为例</w:t>
      </w:r>
    </w:p>
    <w:p w:rsidR="000F0C2B" w:rsidRDefault="000F0C2B" w:rsidP="000F0C2B">
      <w:pPr>
        <w:adjustRightInd w:val="0"/>
        <w:snapToGrid w:val="0"/>
        <w:spacing w:line="360" w:lineRule="auto"/>
        <w:jc w:val="left"/>
        <w:rPr>
          <w:rFonts w:ascii="宋体" w:hAnsi="宋体" w:hint="eastAsia"/>
          <w:sz w:val="24"/>
          <w:lang w:val="zh-CN"/>
        </w:rPr>
      </w:pPr>
      <w:r>
        <w:rPr>
          <w:rFonts w:ascii="宋体" w:hAnsi="宋体" w:hint="eastAsia"/>
          <w:sz w:val="24"/>
          <w:lang w:val="zh-CN"/>
        </w:rPr>
        <w:t>38．我国上市公司股利分配现状探析-基于沪深两市A股数据分析</w:t>
      </w:r>
    </w:p>
    <w:p w:rsidR="000F0C2B" w:rsidRDefault="000F0C2B" w:rsidP="000F0C2B">
      <w:pPr>
        <w:spacing w:line="520" w:lineRule="exact"/>
        <w:rPr>
          <w:rFonts w:ascii="宋体" w:hAnsi="宋体" w:hint="eastAsia"/>
          <w:sz w:val="24"/>
          <w:lang w:val="zh-CN"/>
        </w:rPr>
      </w:pPr>
      <w:r>
        <w:rPr>
          <w:rFonts w:ascii="宋体" w:hAnsi="宋体" w:hint="eastAsia"/>
          <w:sz w:val="24"/>
          <w:lang w:val="zh-CN"/>
        </w:rPr>
        <w:t>39．基于市场机制下中小城市“棚户区改造”经济社会效益并重模式的探讨</w:t>
      </w:r>
    </w:p>
    <w:p w:rsidR="000F0C2B" w:rsidRDefault="000F0C2B" w:rsidP="000F0C2B">
      <w:pPr>
        <w:spacing w:line="520" w:lineRule="exact"/>
        <w:rPr>
          <w:rFonts w:ascii="宋体" w:hAnsi="宋体" w:hint="eastAsia"/>
          <w:sz w:val="24"/>
          <w:lang w:val="zh-CN"/>
        </w:rPr>
      </w:pPr>
      <w:r>
        <w:rPr>
          <w:rFonts w:ascii="宋体" w:hAnsi="宋体" w:hint="eastAsia"/>
          <w:sz w:val="24"/>
          <w:lang w:val="zh-CN"/>
        </w:rPr>
        <w:t>40．中国中小企业互助担保融资模式探讨</w:t>
      </w:r>
    </w:p>
    <w:p w:rsidR="000F0C2B" w:rsidRDefault="000F0C2B" w:rsidP="000F0C2B">
      <w:pPr>
        <w:spacing w:line="520" w:lineRule="exact"/>
        <w:rPr>
          <w:rFonts w:ascii="宋体" w:hAnsi="宋体" w:hint="eastAsia"/>
          <w:sz w:val="24"/>
          <w:lang w:val="zh-CN"/>
        </w:rPr>
      </w:pPr>
      <w:r>
        <w:rPr>
          <w:rFonts w:ascii="宋体" w:hAnsi="宋体" w:hint="eastAsia"/>
          <w:sz w:val="24"/>
          <w:lang w:val="zh-CN"/>
        </w:rPr>
        <w:t>41．重大项目跟踪审计制度的改革和创新</w:t>
      </w:r>
    </w:p>
    <w:p w:rsidR="000F0C2B" w:rsidRDefault="000F0C2B" w:rsidP="000F0C2B">
      <w:pPr>
        <w:spacing w:line="520" w:lineRule="exact"/>
        <w:rPr>
          <w:rFonts w:ascii="宋体" w:hAnsi="宋体" w:hint="eastAsia"/>
          <w:sz w:val="24"/>
          <w:lang w:val="zh-CN"/>
        </w:rPr>
      </w:pPr>
      <w:r>
        <w:rPr>
          <w:rFonts w:ascii="宋体" w:hAnsi="宋体" w:hint="eastAsia"/>
          <w:sz w:val="24"/>
          <w:lang w:val="zh-CN"/>
        </w:rPr>
        <w:t>42．民营企业融资风险的控制及其防范研究</w:t>
      </w:r>
    </w:p>
    <w:p w:rsidR="000F0C2B" w:rsidRDefault="000F0C2B" w:rsidP="000F0C2B">
      <w:pPr>
        <w:spacing w:line="520" w:lineRule="exact"/>
        <w:rPr>
          <w:rFonts w:ascii="宋体" w:hAnsi="宋体" w:hint="eastAsia"/>
          <w:sz w:val="24"/>
          <w:lang w:val="zh-CN"/>
        </w:rPr>
      </w:pPr>
    </w:p>
    <w:p w:rsidR="00A11C8C" w:rsidRDefault="00A11C8C"/>
    <w:sectPr w:rsidR="00A11C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1C8C" w:rsidRDefault="00A11C8C" w:rsidP="000F0C2B">
      <w:r>
        <w:separator/>
      </w:r>
    </w:p>
  </w:endnote>
  <w:endnote w:type="continuationSeparator" w:id="1">
    <w:p w:rsidR="00A11C8C" w:rsidRDefault="00A11C8C" w:rsidP="000F0C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1C8C" w:rsidRDefault="00A11C8C" w:rsidP="000F0C2B">
      <w:r>
        <w:separator/>
      </w:r>
    </w:p>
  </w:footnote>
  <w:footnote w:type="continuationSeparator" w:id="1">
    <w:p w:rsidR="00A11C8C" w:rsidRDefault="00A11C8C" w:rsidP="000F0C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0C2B"/>
    <w:rsid w:val="000F0C2B"/>
    <w:rsid w:val="00A11C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C2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0C2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F0C2B"/>
    <w:rPr>
      <w:sz w:val="18"/>
      <w:szCs w:val="18"/>
    </w:rPr>
  </w:style>
  <w:style w:type="paragraph" w:styleId="a4">
    <w:name w:val="footer"/>
    <w:basedOn w:val="a"/>
    <w:link w:val="Char0"/>
    <w:uiPriority w:val="99"/>
    <w:semiHidden/>
    <w:unhideWhenUsed/>
    <w:rsid w:val="000F0C2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F0C2B"/>
    <w:rPr>
      <w:sz w:val="18"/>
      <w:szCs w:val="18"/>
    </w:rPr>
  </w:style>
</w:styles>
</file>

<file path=word/webSettings.xml><?xml version="1.0" encoding="utf-8"?>
<w:webSettings xmlns:r="http://schemas.openxmlformats.org/officeDocument/2006/relationships" xmlns:w="http://schemas.openxmlformats.org/wordprocessingml/2006/main">
  <w:divs>
    <w:div w:id="25213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354</Words>
  <Characters>2023</Characters>
  <Application>Microsoft Office Word</Application>
  <DocSecurity>0</DocSecurity>
  <Lines>16</Lines>
  <Paragraphs>4</Paragraphs>
  <ScaleCrop>false</ScaleCrop>
  <Company/>
  <LinksUpToDate>false</LinksUpToDate>
  <CharactersWithSpaces>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2012-11-29T15:30:00Z</dcterms:created>
  <dcterms:modified xsi:type="dcterms:W3CDTF">2012-11-29T15:32:00Z</dcterms:modified>
</cp:coreProperties>
</file>